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93AB" w14:textId="77777777" w:rsidR="00A01726" w:rsidRDefault="00495D2B">
      <w:pPr>
        <w:spacing w:after="245" w:line="259" w:lineRule="auto"/>
        <w:ind w:left="0" w:firstLine="0"/>
      </w:pPr>
      <w:r>
        <w:rPr>
          <w:b/>
        </w:rPr>
        <w:t xml:space="preserve">James Huyck </w:t>
      </w:r>
    </w:p>
    <w:p w14:paraId="146BABEA" w14:textId="1942D239" w:rsidR="00A01726" w:rsidRDefault="00495D2B">
      <w:pPr>
        <w:spacing w:after="54"/>
        <w:ind w:left="-5"/>
      </w:pPr>
      <w:r>
        <w:t>Jim Huyck has over 40 years of experience working with people with disabilities</w:t>
      </w:r>
      <w:r w:rsidR="00B75339">
        <w:t>.</w:t>
      </w:r>
      <w:r>
        <w:t xml:space="preserve"> </w:t>
      </w:r>
    </w:p>
    <w:p w14:paraId="01AEEA9B" w14:textId="77777777" w:rsidR="00A01726" w:rsidRDefault="00495D2B">
      <w:pPr>
        <w:spacing w:after="180" w:line="259" w:lineRule="auto"/>
        <w:ind w:left="-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45773F" wp14:editId="26FCA7E5">
                <wp:extent cx="5946521" cy="19685"/>
                <wp:effectExtent l="0" t="0" r="0" b="0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19685"/>
                          <a:chOff x="0" y="0"/>
                          <a:chExt cx="5946521" cy="19685"/>
                        </a:xfrm>
                      </wpg:grpSpPr>
                      <wps:wsp>
                        <wps:cNvPr id="866" name="Shape 866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318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3493" y="635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5943346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318" y="381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5943346" y="381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318" y="165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3493" y="16510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5943346" y="165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" style="width:468.23pt;height:1.54999pt;mso-position-horizontal-relative:char;mso-position-vertical-relative:line" coordsize="59465,196">
                <v:shape id="Shape 875" style="position:absolute;width:59436;height:190;left:0;top:0;" coordsize="5943600,19050" path="m0,0l5943600,0l5943600,19050l0,19050l0,0">
                  <v:stroke weight="0pt" endcap="flat" joinstyle="miter" miterlimit="10" on="false" color="#000000" opacity="0"/>
                  <v:fill on="true" color="#a0a0a0"/>
                </v:shape>
                <v:shape id="Shape 876" style="position:absolute;width:91;height:91;left:3;top:6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77" style="position:absolute;width:59397;height:91;left:34;top:6;" coordsize="5939791,9144" path="m0,0l5939791,0l5939791,9144l0,9144l0,0">
                  <v:stroke weight="0pt" endcap="flat" joinstyle="miter" miterlimit="10" on="false" color="#000000" opacity="0"/>
                  <v:fill on="true" color="#a0a0a0"/>
                </v:shape>
                <v:shape id="Shape 878" style="position:absolute;width:91;height:91;left:59433;top:6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79" style="position:absolute;width:91;height:127;left:3;top:38;" coordsize="9144,12700" path="m0,0l9144,0l9144,12700l0,12700l0,0">
                  <v:stroke weight="0pt" endcap="flat" joinstyle="miter" miterlimit="10" on="false" color="#000000" opacity="0"/>
                  <v:fill on="true" color="#a0a0a0"/>
                </v:shape>
                <v:shape id="Shape 880" style="position:absolute;width:91;height:127;left:59433;top:38;" coordsize="9144,12700" path="m0,0l9144,0l9144,12700l0,12700l0,0">
                  <v:stroke weight="0pt" endcap="flat" joinstyle="miter" miterlimit="10" on="false" color="#000000" opacity="0"/>
                  <v:fill on="true" color="#e3e3e3"/>
                </v:shape>
                <v:shape id="Shape 881" style="position:absolute;width:91;height:91;left:3;top:165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882" style="position:absolute;width:59397;height:91;left:34;top:165;" coordsize="5939791,9144" path="m0,0l5939791,0l5939791,9144l0,9144l0,0">
                  <v:stroke weight="0pt" endcap="flat" joinstyle="miter" miterlimit="10" on="false" color="#000000" opacity="0"/>
                  <v:fill on="true" color="#e3e3e3"/>
                </v:shape>
                <v:shape id="Shape 883" style="position:absolute;width:91;height:91;left:59433;top:165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221437CE" w14:textId="4460DBA4" w:rsidR="00A01726" w:rsidRDefault="00495D2B" w:rsidP="006D4556">
      <w:pPr>
        <w:ind w:left="-5" w:right="1030"/>
      </w:pPr>
      <w:r>
        <w:t xml:space="preserve">He began his career as a Senior Rehabilitation Counselor with the California Department of Rehabilitation, working with Regional Center clients.  After 5 years, he was hired by the San Diego Community College District as a Counselor for the “Limited Learners” (Regional Center clients).  He was promoted to </w:t>
      </w:r>
      <w:r w:rsidR="006D4556">
        <w:t>A</w:t>
      </w:r>
      <w:r>
        <w:t xml:space="preserve">ssociate Dean of Special Education at the San Diego </w:t>
      </w:r>
    </w:p>
    <w:p w14:paraId="7CADAA28" w14:textId="77777777" w:rsidR="00A01726" w:rsidRDefault="00495D2B">
      <w:pPr>
        <w:ind w:left="-5" w:right="476"/>
      </w:pPr>
      <w:r>
        <w:t xml:space="preserve">Community College District where he served </w:t>
      </w:r>
      <w:proofErr w:type="gramStart"/>
      <w:r>
        <w:t>until</w:t>
      </w:r>
      <w:proofErr w:type="gramEnd"/>
      <w:r>
        <w:t xml:space="preserve"> he was recruited to Sacramento by the California Community College </w:t>
      </w:r>
    </w:p>
    <w:p w14:paraId="2D65B5F2" w14:textId="34CFDE9B" w:rsidR="00A01726" w:rsidRDefault="00495D2B">
      <w:pPr>
        <w:spacing w:after="265"/>
        <w:ind w:left="-5" w:right="634"/>
      </w:pPr>
      <w:r>
        <w:t xml:space="preserve">Chancellor’s Office where he launched the Statewide Foundation for the California Community Colleges.  During his tenure there he was successful in obtaining grants and contracts totaling over $17 million per year including funding from Apple and IBM to establish High Tech Centers for the Disabled at Community Colleges Statewide. </w:t>
      </w:r>
    </w:p>
    <w:p w14:paraId="3201D0AB" w14:textId="77777777" w:rsidR="00A01726" w:rsidRDefault="00495D2B">
      <w:pPr>
        <w:spacing w:after="264"/>
        <w:ind w:left="-5"/>
      </w:pPr>
      <w:r>
        <w:t xml:space="preserve">In 1995 he was hired as the Executive Director of Alta California Regional Center where he served for 10 years, managing a staff of over 300 employees and an annual budget of $175 million. </w:t>
      </w:r>
    </w:p>
    <w:p w14:paraId="0AAEFC1A" w14:textId="1945B549" w:rsidR="00A01726" w:rsidRDefault="00495D2B">
      <w:pPr>
        <w:spacing w:after="179"/>
        <w:ind w:left="-5" w:right="409"/>
      </w:pPr>
      <w:r>
        <w:t>For the past 1</w:t>
      </w:r>
      <w:r w:rsidR="00A32FDF">
        <w:t>6</w:t>
      </w:r>
      <w:r>
        <w:t xml:space="preserve"> years he has been consulting and advocating for individuals with disabilities and their families to assist in accessing public benefits including Regional Center, SSI, SSDI, </w:t>
      </w:r>
      <w:r w:rsidR="006D4556">
        <w:t xml:space="preserve">SSDI/CBD, </w:t>
      </w:r>
      <w:r>
        <w:t>MediCal, IHSS, Special Education, CCS</w:t>
      </w:r>
      <w:r w:rsidR="006D4556">
        <w:t>,</w:t>
      </w:r>
      <w:r>
        <w:t xml:space="preserve"> etc.  He works closely with attorneys and Trustees as a Consultant regarding Special Needs Trust.  </w:t>
      </w:r>
    </w:p>
    <w:p w14:paraId="760A2BF6" w14:textId="77777777" w:rsidR="00A01726" w:rsidRDefault="00495D2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01726">
      <w:pgSz w:w="12240" w:h="15840"/>
      <w:pgMar w:top="1440" w:right="135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26"/>
    <w:rsid w:val="00391F7B"/>
    <w:rsid w:val="00495D2B"/>
    <w:rsid w:val="006D4556"/>
    <w:rsid w:val="00A01726"/>
    <w:rsid w:val="00A32FDF"/>
    <w:rsid w:val="00B75339"/>
    <w:rsid w:val="00BA1387"/>
    <w:rsid w:val="00D5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5BED"/>
  <w15:docId w15:val="{A5127630-1923-4ADB-BCDC-9C66D839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Huyck</dc:creator>
  <cp:keywords/>
  <cp:lastModifiedBy>Terri L. Easlon</cp:lastModifiedBy>
  <cp:revision>2</cp:revision>
  <dcterms:created xsi:type="dcterms:W3CDTF">2023-01-11T19:52:00Z</dcterms:created>
  <dcterms:modified xsi:type="dcterms:W3CDTF">2023-01-11T19:52:00Z</dcterms:modified>
</cp:coreProperties>
</file>